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17" w:rsidRPr="00881017" w:rsidRDefault="00881017" w:rsidP="00881017">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881017">
        <w:rPr>
          <w:rFonts w:ascii="Arial" w:hAnsi="Arial" w:cs="Arial"/>
          <w:b/>
          <w:bCs/>
          <w:noProof/>
          <w:sz w:val="24"/>
          <w:szCs w:val="24"/>
        </w:rPr>
        <w:t>3GPP TSG RAN WG1 Meeting #</w:t>
      </w:r>
      <w:r w:rsidRPr="00881017">
        <w:rPr>
          <w:rFonts w:ascii="Arial" w:eastAsia="MS Mincho" w:hAnsi="Arial" w:cs="Arial"/>
          <w:b/>
          <w:bCs/>
          <w:noProof/>
          <w:sz w:val="24"/>
          <w:szCs w:val="24"/>
          <w:lang w:eastAsia="ja-JP"/>
        </w:rPr>
        <w:t>86</w:t>
      </w:r>
      <w:r w:rsidRPr="00881017">
        <w:rPr>
          <w:rFonts w:ascii="Arial" w:eastAsia="MS Mincho" w:hAnsi="Arial" w:cs="Arial"/>
          <w:b/>
          <w:bCs/>
          <w:noProof/>
          <w:sz w:val="24"/>
          <w:szCs w:val="24"/>
          <w:lang w:eastAsia="ja-JP"/>
        </w:rPr>
        <w:tab/>
        <w:t xml:space="preserve"> </w:t>
      </w:r>
      <w:r w:rsidRPr="00881017">
        <w:rPr>
          <w:rFonts w:ascii="Arial" w:eastAsia="MS Mincho" w:hAnsi="Arial" w:cs="Arial"/>
          <w:b/>
          <w:bCs/>
          <w:noProof/>
          <w:sz w:val="24"/>
          <w:szCs w:val="24"/>
          <w:lang w:eastAsia="ja-JP"/>
        </w:rPr>
        <w:tab/>
      </w:r>
      <w:r w:rsidRPr="00881017">
        <w:rPr>
          <w:rFonts w:ascii="Arial" w:hAnsi="Arial" w:cs="Arial"/>
          <w:b/>
          <w:bCs/>
          <w:noProof/>
          <w:sz w:val="24"/>
          <w:szCs w:val="24"/>
        </w:rPr>
        <w:t>R1-1669</w:t>
      </w:r>
      <w:r>
        <w:rPr>
          <w:rFonts w:ascii="Arial" w:hAnsi="Arial" w:cs="Arial"/>
          <w:b/>
          <w:bCs/>
          <w:noProof/>
          <w:sz w:val="24"/>
          <w:szCs w:val="24"/>
        </w:rPr>
        <w:t>61</w:t>
      </w:r>
    </w:p>
    <w:p w:rsidR="00881017" w:rsidRPr="00881017" w:rsidRDefault="00881017" w:rsidP="00881017">
      <w:pPr>
        <w:pStyle w:val="FootnoteText"/>
        <w:rPr>
          <w:rFonts w:ascii="Arial" w:hAnsi="Arial" w:cs="Arial"/>
          <w:b/>
          <w:bCs/>
          <w:noProof/>
          <w:sz w:val="24"/>
          <w:szCs w:val="24"/>
        </w:rPr>
      </w:pPr>
      <w:r w:rsidRPr="00881017">
        <w:rPr>
          <w:rFonts w:ascii="Arial" w:hAnsi="Arial" w:cs="Arial"/>
          <w:b/>
          <w:bCs/>
          <w:noProof/>
          <w:sz w:val="24"/>
          <w:szCs w:val="24"/>
        </w:rPr>
        <w:t>Gothenburg, Sweden, 22-26 August 2016</w:t>
      </w:r>
    </w:p>
    <w:p w:rsidR="00881017" w:rsidRPr="00881017" w:rsidRDefault="00881017" w:rsidP="00881017">
      <w:pPr>
        <w:pStyle w:val="FootnoteText"/>
        <w:rPr>
          <w:lang w:val="en-US"/>
        </w:rPr>
      </w:pPr>
    </w:p>
    <w:p w:rsidR="00881017" w:rsidRPr="00881017" w:rsidRDefault="00881017" w:rsidP="00881017">
      <w:pPr>
        <w:pStyle w:val="TdocHeader2"/>
        <w:jc w:val="left"/>
        <w:rPr>
          <w:sz w:val="20"/>
          <w:lang w:val="en-US"/>
        </w:rPr>
      </w:pPr>
      <w:r w:rsidRPr="00881017">
        <w:rPr>
          <w:sz w:val="20"/>
          <w:lang w:val="en-US"/>
        </w:rPr>
        <w:t xml:space="preserve">Source: </w:t>
      </w:r>
      <w:r w:rsidRPr="00881017">
        <w:rPr>
          <w:sz w:val="20"/>
          <w:lang w:val="en-US"/>
        </w:rPr>
        <w:tab/>
        <w:t>Ericsson</w:t>
      </w:r>
    </w:p>
    <w:p w:rsidR="00005DBD" w:rsidRPr="00881017" w:rsidRDefault="00005DBD" w:rsidP="00005DBD">
      <w:pPr>
        <w:pStyle w:val="TdocHeader2"/>
        <w:jc w:val="left"/>
        <w:rPr>
          <w:sz w:val="20"/>
          <w:lang w:val="en-US"/>
        </w:rPr>
      </w:pPr>
      <w:r w:rsidRPr="00881017">
        <w:rPr>
          <w:sz w:val="20"/>
          <w:lang w:val="en-US"/>
        </w:rPr>
        <w:t>Title:</w:t>
      </w:r>
      <w:bookmarkStart w:id="2" w:name="Title"/>
      <w:bookmarkEnd w:id="2"/>
      <w:r w:rsidRPr="00881017">
        <w:rPr>
          <w:sz w:val="20"/>
          <w:lang w:val="en-US"/>
        </w:rPr>
        <w:tab/>
      </w:r>
      <w:r w:rsidR="00D73039" w:rsidRPr="00881017">
        <w:rPr>
          <w:sz w:val="20"/>
          <w:lang w:val="en-US"/>
        </w:rPr>
        <w:t>On the Need for V2V Gaps</w:t>
      </w:r>
    </w:p>
    <w:p w:rsidR="00005DBD" w:rsidRPr="00881017" w:rsidRDefault="00005DBD" w:rsidP="00005DBD">
      <w:pPr>
        <w:pStyle w:val="TdocHeader2"/>
        <w:jc w:val="left"/>
        <w:rPr>
          <w:sz w:val="20"/>
          <w:lang w:val="en-US"/>
        </w:rPr>
      </w:pPr>
      <w:r w:rsidRPr="00881017">
        <w:rPr>
          <w:sz w:val="20"/>
          <w:lang w:val="en-US"/>
        </w:rPr>
        <w:t>Agenda Item:</w:t>
      </w:r>
      <w:r w:rsidRPr="00881017">
        <w:rPr>
          <w:sz w:val="20"/>
          <w:lang w:val="en-US"/>
        </w:rPr>
        <w:tab/>
      </w:r>
      <w:r w:rsidR="00881017" w:rsidRPr="00881017">
        <w:rPr>
          <w:sz w:val="20"/>
          <w:lang w:val="en-US"/>
        </w:rPr>
        <w:t>7</w:t>
      </w:r>
      <w:r w:rsidR="000035ED" w:rsidRPr="00881017">
        <w:rPr>
          <w:rFonts w:cs="Arial"/>
          <w:color w:val="312E25"/>
          <w:sz w:val="20"/>
          <w:szCs w:val="18"/>
          <w:lang w:eastAsia="sv-SE"/>
        </w:rPr>
        <w:t>.2.2.6</w:t>
      </w:r>
    </w:p>
    <w:p w:rsidR="00005DBD" w:rsidRPr="007F1723" w:rsidRDefault="00005DBD" w:rsidP="00005DBD">
      <w:pPr>
        <w:pStyle w:val="TdocHeader2"/>
        <w:jc w:val="left"/>
        <w:rPr>
          <w:sz w:val="20"/>
          <w:lang w:val="en-US"/>
        </w:rPr>
      </w:pPr>
      <w:r w:rsidRPr="00881017">
        <w:rPr>
          <w:sz w:val="20"/>
          <w:lang w:val="en-US"/>
        </w:rPr>
        <w:t>Document for:</w:t>
      </w:r>
      <w:r w:rsidRPr="00881017">
        <w:rPr>
          <w:sz w:val="20"/>
          <w:lang w:val="en-US"/>
        </w:rPr>
        <w:tab/>
        <w:t>Discussion and Decision</w:t>
      </w:r>
    </w:p>
    <w:bookmarkEnd w:id="0"/>
    <w:bookmarkEnd w:id="1"/>
    <w:p w:rsidR="0078373C" w:rsidRPr="004306F8" w:rsidRDefault="006E75D3" w:rsidP="004306F8">
      <w:pPr>
        <w:pStyle w:val="Heading1"/>
      </w:pPr>
      <w:r>
        <w:t>Proposal for V2V Gaps Standardization</w:t>
      </w:r>
    </w:p>
    <w:p w:rsidR="006E75D3" w:rsidRDefault="006E75D3" w:rsidP="006E75D3">
      <w:pPr>
        <w:spacing w:after="0"/>
        <w:rPr>
          <w:rFonts w:eastAsia="MS Mincho"/>
          <w:lang w:val="en-US" w:eastAsia="ja-JP"/>
        </w:rPr>
      </w:pPr>
      <w:r>
        <w:rPr>
          <w:rFonts w:eastAsia="MS Mincho"/>
          <w:lang w:val="en-US" w:eastAsia="ja-JP"/>
        </w:rPr>
        <w:t>During RAN1#84bis there was some attempt of discussion around the topic of V2V gaps</w:t>
      </w:r>
      <w:r w:rsidR="00C84421">
        <w:rPr>
          <w:rFonts w:eastAsia="MS Mincho"/>
          <w:lang w:val="en-US" w:eastAsia="ja-JP"/>
        </w:rPr>
        <w:t xml:space="preserve"> [1]</w:t>
      </w:r>
      <w:r>
        <w:rPr>
          <w:rFonts w:eastAsia="MS Mincho"/>
          <w:lang w:val="en-US" w:eastAsia="ja-JP"/>
        </w:rPr>
        <w:t xml:space="preserve">. </w:t>
      </w:r>
    </w:p>
    <w:p w:rsidR="006E75D3" w:rsidRDefault="006E75D3" w:rsidP="006E75D3">
      <w:pPr>
        <w:spacing w:after="0"/>
        <w:rPr>
          <w:rFonts w:eastAsia="MS Mincho"/>
          <w:lang w:val="en-US" w:eastAsia="ja-JP"/>
        </w:rPr>
      </w:pPr>
    </w:p>
    <w:p w:rsidR="006E75D3" w:rsidRPr="006E75D3" w:rsidRDefault="006E75D3" w:rsidP="006E75D3">
      <w:pPr>
        <w:rPr>
          <w:rFonts w:eastAsia="MS Mincho"/>
          <w:i/>
          <w:lang w:val="en-US" w:eastAsia="ja-JP"/>
        </w:rPr>
      </w:pPr>
      <w:r w:rsidRPr="006E75D3">
        <w:rPr>
          <w:rFonts w:eastAsia="MS Mincho"/>
          <w:i/>
          <w:highlight w:val="green"/>
          <w:lang w:val="en-US" w:eastAsia="ja-JP"/>
        </w:rPr>
        <w:t>Agreement:</w:t>
      </w:r>
    </w:p>
    <w:p w:rsidR="006E75D3" w:rsidRPr="006E75D3" w:rsidRDefault="006E75D3" w:rsidP="006E75D3">
      <w:pPr>
        <w:numPr>
          <w:ilvl w:val="0"/>
          <w:numId w:val="31"/>
        </w:numPr>
        <w:spacing w:after="0"/>
        <w:rPr>
          <w:i/>
        </w:rPr>
      </w:pPr>
      <w:r w:rsidRPr="006E75D3">
        <w:rPr>
          <w:i/>
        </w:rPr>
        <w:t>The followings are supported for the purpose of coexistence between PC5-based V2V and WAN:</w:t>
      </w:r>
    </w:p>
    <w:p w:rsidR="006E75D3" w:rsidRPr="006E75D3" w:rsidRDefault="006E75D3" w:rsidP="006E75D3">
      <w:pPr>
        <w:numPr>
          <w:ilvl w:val="1"/>
          <w:numId w:val="31"/>
        </w:numPr>
        <w:spacing w:after="0"/>
        <w:rPr>
          <w:i/>
        </w:rPr>
      </w:pPr>
      <w:r w:rsidRPr="006E75D3">
        <w:rPr>
          <w:i/>
        </w:rPr>
        <w:t>Sidelink open loop power control is re-used for SL TX for V2V</w:t>
      </w:r>
    </w:p>
    <w:p w:rsidR="006E75D3" w:rsidRPr="006E75D3" w:rsidRDefault="006E75D3" w:rsidP="006E75D3">
      <w:pPr>
        <w:numPr>
          <w:ilvl w:val="2"/>
          <w:numId w:val="31"/>
        </w:numPr>
        <w:spacing w:after="0"/>
        <w:rPr>
          <w:i/>
        </w:rPr>
      </w:pPr>
      <w:r w:rsidRPr="006E75D3">
        <w:rPr>
          <w:i/>
        </w:rPr>
        <w:t>FFS RSRP based resource selection</w:t>
      </w:r>
    </w:p>
    <w:p w:rsidR="006E75D3" w:rsidRPr="006E75D3" w:rsidRDefault="006E75D3" w:rsidP="006E75D3">
      <w:pPr>
        <w:numPr>
          <w:ilvl w:val="1"/>
          <w:numId w:val="31"/>
        </w:numPr>
        <w:spacing w:after="0"/>
        <w:rPr>
          <w:b/>
          <w:i/>
        </w:rPr>
      </w:pPr>
      <w:r w:rsidRPr="006E75D3">
        <w:rPr>
          <w:b/>
          <w:i/>
        </w:rPr>
        <w:t xml:space="preserve">SL TX for V2V can be prioritized over WAN TX </w:t>
      </w:r>
    </w:p>
    <w:p w:rsidR="006E75D3" w:rsidRPr="006E75D3" w:rsidRDefault="006E75D3" w:rsidP="006E75D3">
      <w:pPr>
        <w:numPr>
          <w:ilvl w:val="2"/>
          <w:numId w:val="31"/>
        </w:numPr>
        <w:spacing w:after="0"/>
        <w:rPr>
          <w:b/>
          <w:i/>
        </w:rPr>
      </w:pPr>
      <w:r w:rsidRPr="006E75D3">
        <w:rPr>
          <w:b/>
          <w:i/>
        </w:rPr>
        <w:t xml:space="preserve">FFS the details (e.g., applicability to Mode 1 and/or Mode 2, </w:t>
      </w:r>
      <w:proofErr w:type="spellStart"/>
      <w:r w:rsidRPr="006E75D3">
        <w:rPr>
          <w:b/>
          <w:i/>
        </w:rPr>
        <w:t>etc</w:t>
      </w:r>
      <w:proofErr w:type="spellEnd"/>
      <w:r w:rsidRPr="006E75D3">
        <w:rPr>
          <w:b/>
          <w:i/>
        </w:rPr>
        <w:t>), especially whether existing D2D mechanism can be reused,</w:t>
      </w:r>
    </w:p>
    <w:p w:rsidR="006E75D3" w:rsidRPr="006E75D3" w:rsidRDefault="006E75D3" w:rsidP="006E75D3">
      <w:pPr>
        <w:numPr>
          <w:ilvl w:val="2"/>
          <w:numId w:val="31"/>
        </w:numPr>
        <w:spacing w:after="0"/>
        <w:rPr>
          <w:b/>
          <w:i/>
        </w:rPr>
      </w:pPr>
      <w:r w:rsidRPr="006E75D3">
        <w:rPr>
          <w:b/>
          <w:i/>
        </w:rPr>
        <w:t xml:space="preserve">The prioritization is </w:t>
      </w:r>
      <w:proofErr w:type="spellStart"/>
      <w:r w:rsidRPr="006E75D3">
        <w:rPr>
          <w:b/>
          <w:i/>
        </w:rPr>
        <w:t>managable</w:t>
      </w:r>
      <w:proofErr w:type="spellEnd"/>
      <w:r w:rsidRPr="006E75D3">
        <w:rPr>
          <w:b/>
          <w:i/>
        </w:rPr>
        <w:t xml:space="preserve"> by </w:t>
      </w:r>
      <w:proofErr w:type="spellStart"/>
      <w:r w:rsidRPr="006E75D3">
        <w:rPr>
          <w:b/>
          <w:i/>
        </w:rPr>
        <w:t>eNB</w:t>
      </w:r>
      <w:proofErr w:type="spellEnd"/>
      <w:r w:rsidRPr="006E75D3">
        <w:rPr>
          <w:b/>
          <w:i/>
        </w:rPr>
        <w:t>. Details FFS.</w:t>
      </w:r>
    </w:p>
    <w:p w:rsidR="006E75D3" w:rsidRPr="006E75D3" w:rsidRDefault="006E75D3" w:rsidP="006E75D3">
      <w:pPr>
        <w:numPr>
          <w:ilvl w:val="1"/>
          <w:numId w:val="31"/>
        </w:numPr>
        <w:spacing w:after="0"/>
        <w:rPr>
          <w:i/>
        </w:rPr>
      </w:pPr>
      <w:r w:rsidRPr="006E75D3">
        <w:rPr>
          <w:i/>
        </w:rPr>
        <w:t xml:space="preserve">The same receiver capability of D2D communication UEs is assumed for V2V UEs. That is, </w:t>
      </w:r>
      <w:proofErr w:type="gramStart"/>
      <w:r w:rsidRPr="006E75D3">
        <w:rPr>
          <w:i/>
        </w:rPr>
        <w:t>a</w:t>
      </w:r>
      <w:proofErr w:type="gramEnd"/>
      <w:r w:rsidRPr="006E75D3">
        <w:rPr>
          <w:i/>
        </w:rPr>
        <w:t xml:space="preserve"> Rx chain is available at all time to receive V2V signals without affecting WAN reception (from RAN1 perspective) when the UE is configured to receive V2V.</w:t>
      </w:r>
    </w:p>
    <w:p w:rsidR="006E75D3" w:rsidRPr="006E75D3" w:rsidRDefault="006E75D3" w:rsidP="006E75D3">
      <w:pPr>
        <w:spacing w:after="0"/>
        <w:rPr>
          <w:rFonts w:eastAsia="MS Mincho"/>
          <w:lang w:eastAsia="ja-JP"/>
        </w:rPr>
      </w:pPr>
    </w:p>
    <w:p w:rsidR="006E75D3" w:rsidRDefault="006E75D3" w:rsidP="000035ED">
      <w:pPr>
        <w:spacing w:after="0"/>
        <w:jc w:val="both"/>
        <w:rPr>
          <w:rFonts w:eastAsia="MS Mincho"/>
          <w:lang w:val="en-US" w:eastAsia="ja-JP"/>
        </w:rPr>
      </w:pPr>
      <w:r>
        <w:rPr>
          <w:rFonts w:eastAsia="MS Mincho"/>
          <w:lang w:val="en-US" w:eastAsia="ja-JP"/>
        </w:rPr>
        <w:t xml:space="preserve">Essentially, the idea is that at least in some case SL TX for V2V is prioritized over WAN TX, under </w:t>
      </w:r>
      <w:proofErr w:type="spellStart"/>
      <w:r>
        <w:rPr>
          <w:rFonts w:eastAsia="MS Mincho"/>
          <w:lang w:val="en-US" w:eastAsia="ja-JP"/>
        </w:rPr>
        <w:t>eNB</w:t>
      </w:r>
      <w:proofErr w:type="spellEnd"/>
      <w:r>
        <w:rPr>
          <w:rFonts w:eastAsia="MS Mincho"/>
          <w:lang w:val="en-US" w:eastAsia="ja-JP"/>
        </w:rPr>
        <w:t xml:space="preserve"> control.</w:t>
      </w:r>
    </w:p>
    <w:p w:rsidR="006E75D3" w:rsidRDefault="006E75D3" w:rsidP="000035ED">
      <w:pPr>
        <w:spacing w:before="240" w:after="0"/>
        <w:jc w:val="both"/>
        <w:rPr>
          <w:rFonts w:eastAsia="MS Mincho"/>
          <w:lang w:val="en-US" w:eastAsia="ja-JP"/>
        </w:rPr>
      </w:pPr>
      <w:r>
        <w:rPr>
          <w:rFonts w:eastAsia="MS Mincho"/>
          <w:lang w:val="en-US" w:eastAsia="ja-JP"/>
        </w:rPr>
        <w:t xml:space="preserve">We first observe that, from a UE RF implementation perspective, the complexity and cost saving enabled by optimizing </w:t>
      </w:r>
      <w:proofErr w:type="spellStart"/>
      <w:proofErr w:type="gramStart"/>
      <w:r w:rsidR="00C84421">
        <w:rPr>
          <w:rFonts w:eastAsia="MS Mincho"/>
          <w:lang w:val="en-US" w:eastAsia="ja-JP"/>
        </w:rPr>
        <w:t>tx</w:t>
      </w:r>
      <w:proofErr w:type="spellEnd"/>
      <w:proofErr w:type="gramEnd"/>
      <w:r w:rsidR="00C84421">
        <w:rPr>
          <w:rFonts w:eastAsia="MS Mincho"/>
          <w:lang w:val="en-US" w:eastAsia="ja-JP"/>
        </w:rPr>
        <w:t xml:space="preserve"> chain reuse is very limited. Indeed the PA and most of the analog front end can unlikely be shared between a 5.9GHz carrier and a lower frequency carrier typically used for WAN. It is also debatable whether the potential cost saving by sharing some baseband resources would justify the additional implementation cost for optimized sharing, especially for a first release of products.</w:t>
      </w:r>
    </w:p>
    <w:p w:rsidR="00C84421" w:rsidRDefault="00C84421" w:rsidP="000035ED">
      <w:pPr>
        <w:spacing w:before="240" w:after="0"/>
        <w:jc w:val="both"/>
        <w:rPr>
          <w:rFonts w:eastAsia="MS Mincho"/>
          <w:lang w:val="en-US" w:eastAsia="ja-JP"/>
        </w:rPr>
      </w:pPr>
      <w:r>
        <w:rPr>
          <w:rFonts w:eastAsia="MS Mincho"/>
          <w:lang w:val="en-US" w:eastAsia="ja-JP"/>
        </w:rPr>
        <w:t>We also observe that the WID completion timeline is approaching and the remaining number of critical unresolved issues is large. This is even more critical in RAN2 where RRC completion is urgent.</w:t>
      </w:r>
    </w:p>
    <w:p w:rsidR="00C84421" w:rsidRDefault="00C84421" w:rsidP="000035ED">
      <w:pPr>
        <w:spacing w:before="240" w:after="0"/>
        <w:jc w:val="both"/>
        <w:rPr>
          <w:rFonts w:eastAsia="MS Mincho"/>
          <w:lang w:val="en-US" w:eastAsia="ja-JP"/>
        </w:rPr>
      </w:pPr>
      <w:r>
        <w:rPr>
          <w:rFonts w:eastAsia="MS Mincho"/>
          <w:lang w:val="en-US" w:eastAsia="ja-JP"/>
        </w:rPr>
        <w:t xml:space="preserve">We thus propose that V2V gaps, if configured by </w:t>
      </w:r>
      <w:proofErr w:type="spellStart"/>
      <w:r>
        <w:rPr>
          <w:rFonts w:eastAsia="MS Mincho"/>
          <w:lang w:val="en-US" w:eastAsia="ja-JP"/>
        </w:rPr>
        <w:t>eNB</w:t>
      </w:r>
      <w:proofErr w:type="spellEnd"/>
      <w:r>
        <w:rPr>
          <w:rFonts w:eastAsia="MS Mincho"/>
          <w:lang w:val="en-US" w:eastAsia="ja-JP"/>
        </w:rPr>
        <w:t>, are only used for mode-1. Additional optimizations for mode-2 may be considered for a future release in case of interest.</w:t>
      </w:r>
    </w:p>
    <w:p w:rsidR="006E75D3" w:rsidRDefault="006E75D3" w:rsidP="006E75D3">
      <w:pPr>
        <w:spacing w:after="0"/>
        <w:rPr>
          <w:rFonts w:eastAsia="MS Mincho"/>
          <w:lang w:val="en-US" w:eastAsia="ja-JP"/>
        </w:rPr>
      </w:pPr>
    </w:p>
    <w:p w:rsidR="00865F36" w:rsidRPr="00C84421" w:rsidRDefault="00C84421" w:rsidP="00C84421">
      <w:pPr>
        <w:rPr>
          <w:b/>
          <w:i/>
        </w:rPr>
      </w:pPr>
      <w:r w:rsidRPr="00C84421">
        <w:rPr>
          <w:b/>
          <w:i/>
        </w:rPr>
        <w:t>Observations</w:t>
      </w:r>
      <w:r w:rsidR="00865F36" w:rsidRPr="00C84421">
        <w:rPr>
          <w:b/>
          <w:i/>
        </w:rPr>
        <w:t>:</w:t>
      </w:r>
    </w:p>
    <w:p w:rsidR="00C84421" w:rsidRPr="00C84421" w:rsidRDefault="00C84421" w:rsidP="00C84421">
      <w:pPr>
        <w:pStyle w:val="ListParagraph"/>
        <w:numPr>
          <w:ilvl w:val="0"/>
          <w:numId w:val="33"/>
        </w:numPr>
        <w:rPr>
          <w:rFonts w:ascii="Times New Roman" w:hAnsi="Times New Roman" w:cs="Times New Roman"/>
          <w:b/>
          <w:i/>
          <w:sz w:val="20"/>
          <w:szCs w:val="20"/>
        </w:rPr>
      </w:pPr>
      <w:r w:rsidRPr="00C84421">
        <w:rPr>
          <w:rFonts w:ascii="Times New Roman" w:hAnsi="Times New Roman" w:cs="Times New Roman"/>
          <w:b/>
          <w:i/>
          <w:sz w:val="20"/>
          <w:szCs w:val="20"/>
        </w:rPr>
        <w:t xml:space="preserve">The complexity and cost saving enabled by optimizing </w:t>
      </w:r>
      <w:proofErr w:type="spellStart"/>
      <w:proofErr w:type="gramStart"/>
      <w:r w:rsidRPr="00C84421">
        <w:rPr>
          <w:rFonts w:ascii="Times New Roman" w:hAnsi="Times New Roman" w:cs="Times New Roman"/>
          <w:b/>
          <w:i/>
          <w:sz w:val="20"/>
          <w:szCs w:val="20"/>
        </w:rPr>
        <w:t>tx</w:t>
      </w:r>
      <w:proofErr w:type="spellEnd"/>
      <w:proofErr w:type="gramEnd"/>
      <w:r w:rsidRPr="00C84421">
        <w:rPr>
          <w:rFonts w:ascii="Times New Roman" w:hAnsi="Times New Roman" w:cs="Times New Roman"/>
          <w:b/>
          <w:i/>
          <w:sz w:val="20"/>
          <w:szCs w:val="20"/>
        </w:rPr>
        <w:t xml:space="preserve"> chain reuse between V2V at 5.9GHz and WAN is very limited. </w:t>
      </w:r>
    </w:p>
    <w:p w:rsidR="00BB5340" w:rsidRPr="00C84421" w:rsidRDefault="005945A2" w:rsidP="00C84421">
      <w:pPr>
        <w:pStyle w:val="ListParagraph"/>
        <w:numPr>
          <w:ilvl w:val="0"/>
          <w:numId w:val="33"/>
        </w:numPr>
        <w:rPr>
          <w:rFonts w:ascii="Times New Roman" w:hAnsi="Times New Roman" w:cs="Times New Roman"/>
          <w:b/>
          <w:i/>
          <w:sz w:val="20"/>
          <w:szCs w:val="20"/>
        </w:rPr>
      </w:pPr>
      <w:r>
        <w:rPr>
          <w:rFonts w:ascii="Times New Roman" w:hAnsi="Times New Roman" w:cs="Times New Roman"/>
          <w:b/>
          <w:i/>
          <w:sz w:val="20"/>
          <w:szCs w:val="20"/>
        </w:rPr>
        <w:t xml:space="preserve">The WID completion timeline is reached </w:t>
      </w:r>
      <w:bookmarkStart w:id="3" w:name="_GoBack"/>
      <w:bookmarkEnd w:id="3"/>
      <w:r w:rsidR="00C84421" w:rsidRPr="00C84421">
        <w:rPr>
          <w:rFonts w:ascii="Times New Roman" w:hAnsi="Times New Roman" w:cs="Times New Roman"/>
          <w:b/>
          <w:i/>
          <w:sz w:val="20"/>
          <w:szCs w:val="20"/>
        </w:rPr>
        <w:t xml:space="preserve">and the remaining number of critical unresolved issues is large. </w:t>
      </w:r>
    </w:p>
    <w:p w:rsidR="00C84421" w:rsidRPr="00C84421" w:rsidRDefault="00C84421" w:rsidP="00C84421">
      <w:pPr>
        <w:rPr>
          <w:b/>
          <w:i/>
        </w:rPr>
      </w:pPr>
    </w:p>
    <w:p w:rsidR="00C84421" w:rsidRPr="00C84421" w:rsidRDefault="00C84421" w:rsidP="00C84421">
      <w:pPr>
        <w:rPr>
          <w:b/>
          <w:i/>
        </w:rPr>
      </w:pPr>
      <w:r w:rsidRPr="00C84421">
        <w:rPr>
          <w:b/>
          <w:i/>
        </w:rPr>
        <w:t>Proposals:</w:t>
      </w:r>
    </w:p>
    <w:p w:rsidR="00C84421" w:rsidRPr="00C84421" w:rsidRDefault="00C84421" w:rsidP="00C84421">
      <w:pPr>
        <w:pStyle w:val="ListParagraph"/>
        <w:numPr>
          <w:ilvl w:val="0"/>
          <w:numId w:val="34"/>
        </w:numPr>
        <w:rPr>
          <w:rFonts w:ascii="Times New Roman" w:hAnsi="Times New Roman" w:cs="Times New Roman"/>
          <w:b/>
          <w:i/>
          <w:sz w:val="20"/>
          <w:szCs w:val="20"/>
        </w:rPr>
      </w:pPr>
      <w:r w:rsidRPr="00C84421">
        <w:rPr>
          <w:rFonts w:ascii="Times New Roman" w:hAnsi="Times New Roman" w:cs="Times New Roman"/>
          <w:b/>
          <w:i/>
          <w:sz w:val="20"/>
          <w:szCs w:val="20"/>
        </w:rPr>
        <w:t xml:space="preserve">V2V gaps, if configured by </w:t>
      </w:r>
      <w:proofErr w:type="spellStart"/>
      <w:r w:rsidRPr="00C84421">
        <w:rPr>
          <w:rFonts w:ascii="Times New Roman" w:hAnsi="Times New Roman" w:cs="Times New Roman"/>
          <w:b/>
          <w:i/>
          <w:sz w:val="20"/>
          <w:szCs w:val="20"/>
        </w:rPr>
        <w:t>eNB</w:t>
      </w:r>
      <w:proofErr w:type="spellEnd"/>
      <w:r w:rsidRPr="00C84421">
        <w:rPr>
          <w:rFonts w:ascii="Times New Roman" w:hAnsi="Times New Roman" w:cs="Times New Roman"/>
          <w:b/>
          <w:i/>
          <w:sz w:val="20"/>
          <w:szCs w:val="20"/>
        </w:rPr>
        <w:t xml:space="preserve">, are only used for mode-1. </w:t>
      </w:r>
    </w:p>
    <w:p w:rsidR="00C84421" w:rsidRPr="00C84421" w:rsidRDefault="00C84421" w:rsidP="00C84421">
      <w:pPr>
        <w:pStyle w:val="ListParagraph"/>
        <w:numPr>
          <w:ilvl w:val="1"/>
          <w:numId w:val="34"/>
        </w:numPr>
        <w:rPr>
          <w:rFonts w:ascii="Times New Roman" w:hAnsi="Times New Roman" w:cs="Times New Roman"/>
          <w:b/>
          <w:i/>
          <w:sz w:val="20"/>
          <w:szCs w:val="20"/>
        </w:rPr>
      </w:pPr>
      <w:r w:rsidRPr="00C84421">
        <w:rPr>
          <w:rFonts w:ascii="Times New Roman" w:hAnsi="Times New Roman" w:cs="Times New Roman"/>
          <w:b/>
          <w:i/>
          <w:sz w:val="20"/>
          <w:szCs w:val="20"/>
        </w:rPr>
        <w:t>Additional optimizations for mode-2 may be considered for a future release in case of interest.</w:t>
      </w:r>
    </w:p>
    <w:p w:rsidR="00BB5340" w:rsidRPr="00C84421" w:rsidRDefault="00BB5340" w:rsidP="004306F8">
      <w:pPr>
        <w:spacing w:after="0"/>
        <w:rPr>
          <w:b/>
          <w:bCs/>
          <w:i/>
          <w:iCs/>
          <w:lang w:val="en-US"/>
        </w:rPr>
      </w:pPr>
    </w:p>
    <w:p w:rsidR="009A1074" w:rsidRPr="00C84421" w:rsidRDefault="00C02A80" w:rsidP="00856691">
      <w:pPr>
        <w:pStyle w:val="Heading1"/>
      </w:pPr>
      <w:r w:rsidRPr="00C84421">
        <w:t>References</w:t>
      </w:r>
    </w:p>
    <w:p w:rsidR="00FE6265" w:rsidRPr="000035ED" w:rsidRDefault="00BB5340" w:rsidP="00B13B77">
      <w:pPr>
        <w:numPr>
          <w:ilvl w:val="0"/>
          <w:numId w:val="21"/>
        </w:numPr>
        <w:ind w:hanging="720"/>
      </w:pPr>
      <w:bookmarkStart w:id="4" w:name="_Ref442446938"/>
      <w:r w:rsidRPr="000035ED">
        <w:rPr>
          <w:color w:val="312E25"/>
          <w:lang w:eastAsia="sv-SE"/>
        </w:rPr>
        <w:t>RAN1#84bis, Chairman’s notes</w:t>
      </w:r>
    </w:p>
    <w:bookmarkEnd w:id="4"/>
    <w:p w:rsidR="00417A97" w:rsidRPr="0030028E" w:rsidRDefault="00417A97" w:rsidP="00A94ADF">
      <w:pPr>
        <w:rPr>
          <w:lang w:val="en-US"/>
        </w:rPr>
      </w:pPr>
    </w:p>
    <w:sectPr w:rsidR="00417A97" w:rsidRPr="0030028E"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530" w:rsidRDefault="00070530">
      <w:r>
        <w:separator/>
      </w:r>
    </w:p>
  </w:endnote>
  <w:endnote w:type="continuationSeparator" w:id="0">
    <w:p w:rsidR="00070530" w:rsidRDefault="0007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530" w:rsidRDefault="00070530">
      <w:r>
        <w:separator/>
      </w:r>
    </w:p>
  </w:footnote>
  <w:footnote w:type="continuationSeparator" w:id="0">
    <w:p w:rsidR="00070530" w:rsidRDefault="00070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CCD1985"/>
    <w:multiLevelType w:val="hybridMultilevel"/>
    <w:tmpl w:val="51CC9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5">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5770D1"/>
    <w:multiLevelType w:val="hybridMultilevel"/>
    <w:tmpl w:val="9DE60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D5087D"/>
    <w:multiLevelType w:val="hybridMultilevel"/>
    <w:tmpl w:val="23B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7C33D6"/>
    <w:multiLevelType w:val="hybridMultilevel"/>
    <w:tmpl w:val="B47471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6"/>
  </w:num>
  <w:num w:numId="3">
    <w:abstractNumId w:val="22"/>
  </w:num>
  <w:num w:numId="4">
    <w:abstractNumId w:val="9"/>
  </w:num>
  <w:num w:numId="5">
    <w:abstractNumId w:val="12"/>
  </w:num>
  <w:num w:numId="6">
    <w:abstractNumId w:val="27"/>
  </w:num>
  <w:num w:numId="7">
    <w:abstractNumId w:val="16"/>
  </w:num>
  <w:num w:numId="8">
    <w:abstractNumId w:val="11"/>
  </w:num>
  <w:num w:numId="9">
    <w:abstractNumId w:val="17"/>
  </w:num>
  <w:num w:numId="10">
    <w:abstractNumId w:val="14"/>
  </w:num>
  <w:num w:numId="11">
    <w:abstractNumId w:val="6"/>
  </w:num>
  <w:num w:numId="12">
    <w:abstractNumId w:val="21"/>
  </w:num>
  <w:num w:numId="13">
    <w:abstractNumId w:val="24"/>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10"/>
  </w:num>
  <w:num w:numId="24">
    <w:abstractNumId w:val="25"/>
  </w:num>
  <w:num w:numId="25">
    <w:abstractNumId w:val="4"/>
  </w:num>
  <w:num w:numId="26">
    <w:abstractNumId w:val="19"/>
  </w:num>
  <w:num w:numId="27">
    <w:abstractNumId w:val="23"/>
  </w:num>
  <w:num w:numId="28">
    <w:abstractNumId w:val="8"/>
  </w:num>
  <w:num w:numId="29">
    <w:abstractNumId w:val="1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7"/>
  </w:num>
  <w:num w:numId="33">
    <w:abstractNumId w:val="2"/>
  </w:num>
  <w:num w:numId="3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35ED"/>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30"/>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555"/>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23C"/>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C1"/>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B26"/>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4B61"/>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1E0B"/>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1F7C"/>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DBF"/>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4F"/>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73C"/>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71D"/>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BB7"/>
    <w:rsid w:val="004B6C2D"/>
    <w:rsid w:val="004B6F76"/>
    <w:rsid w:val="004B7293"/>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5A2"/>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A80"/>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2FD"/>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1E"/>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606"/>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507"/>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5D3"/>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5F36"/>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017"/>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78D"/>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49A"/>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835"/>
    <w:rsid w:val="00B05ACE"/>
    <w:rsid w:val="00B05ED5"/>
    <w:rsid w:val="00B0609F"/>
    <w:rsid w:val="00B0610F"/>
    <w:rsid w:val="00B06614"/>
    <w:rsid w:val="00B06793"/>
    <w:rsid w:val="00B07776"/>
    <w:rsid w:val="00B07D83"/>
    <w:rsid w:val="00B07DDD"/>
    <w:rsid w:val="00B100E8"/>
    <w:rsid w:val="00B10127"/>
    <w:rsid w:val="00B10438"/>
    <w:rsid w:val="00B10E35"/>
    <w:rsid w:val="00B110CA"/>
    <w:rsid w:val="00B11440"/>
    <w:rsid w:val="00B124E9"/>
    <w:rsid w:val="00B124ED"/>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1AB"/>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74B"/>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45"/>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357"/>
    <w:rsid w:val="00C84421"/>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815"/>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8D6"/>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039"/>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187"/>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74B"/>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B9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AAF"/>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149"/>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3B3"/>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839D8-8C07-4C80-BFFF-7548E6B9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2016-08-10T08:47:00Z</dcterms:created>
  <dcterms:modified xsi:type="dcterms:W3CDTF">2016-08-11T13:28:00Z</dcterms:modified>
</cp:coreProperties>
</file>